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EA" w:rsidRDefault="00CD5169" w:rsidP="00CD5169">
      <w:pPr>
        <w:jc w:val="center"/>
        <w:rPr>
          <w:rStyle w:val="Strong"/>
          <w:rFonts w:ascii="Arial" w:hAnsi="Arial" w:cs="Arial"/>
          <w:bCs w:val="0"/>
          <w:color w:val="212529"/>
          <w:sz w:val="21"/>
          <w:szCs w:val="21"/>
          <w:shd w:val="clear" w:color="auto" w:fill="FFFFFF"/>
        </w:rPr>
      </w:pPr>
      <w:r w:rsidRPr="00CD5169">
        <w:rPr>
          <w:rStyle w:val="Strong"/>
          <w:rFonts w:ascii="Arial" w:hAnsi="Arial" w:cs="Arial"/>
          <w:bCs w:val="0"/>
          <w:color w:val="212529"/>
          <w:sz w:val="21"/>
          <w:szCs w:val="21"/>
          <w:shd w:val="clear" w:color="auto" w:fill="FFFFFF"/>
        </w:rPr>
        <w:t>CERTIFICATE EXAMINATION IN MSME</w:t>
      </w:r>
    </w:p>
    <w:p w:rsidR="00CD5169" w:rsidRDefault="00CD5169" w:rsidP="00CD5169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Priority Sector Lending – Amendments to the Master Directions</w:t>
      </w:r>
    </w:p>
    <w:p w:rsidR="00CD5169" w:rsidRDefault="00CD5169" w:rsidP="00CD5169">
      <w:pPr>
        <w:pStyle w:val="NoSpacing"/>
      </w:pPr>
      <w:r>
        <w:t>RBI/2024-25/44</w:t>
      </w:r>
      <w:r>
        <w:br/>
        <w:t>FIDD.CO.PSD.BC.No.7/04.09.01/2024-25</w:t>
      </w:r>
    </w:p>
    <w:p w:rsidR="00CD5169" w:rsidRDefault="00CD5169" w:rsidP="00CD5169">
      <w:pPr>
        <w:pStyle w:val="NoSpacing"/>
        <w:jc w:val="right"/>
      </w:pPr>
      <w:r>
        <w:t>June 21, 2024</w:t>
      </w:r>
    </w:p>
    <w:p w:rsidR="00CD5169" w:rsidRDefault="00CD5169" w:rsidP="00CD5169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 / Managing Director/</w:t>
      </w:r>
      <w:r>
        <w:rPr>
          <w:rFonts w:ascii="Arial" w:hAnsi="Arial" w:cs="Arial"/>
          <w:color w:val="000000"/>
          <w:sz w:val="20"/>
          <w:szCs w:val="20"/>
        </w:rPr>
        <w:br/>
        <w:t>Chief Executive Officer</w:t>
      </w:r>
      <w:r>
        <w:rPr>
          <w:rFonts w:ascii="Arial" w:hAnsi="Arial" w:cs="Arial"/>
          <w:color w:val="000000"/>
          <w:sz w:val="20"/>
          <w:szCs w:val="20"/>
        </w:rPr>
        <w:br/>
        <w:t>[All Commercial Banks including Regional Rural Banks,</w:t>
      </w:r>
      <w:r>
        <w:rPr>
          <w:rFonts w:ascii="Arial" w:hAnsi="Arial" w:cs="Arial"/>
          <w:color w:val="000000"/>
          <w:sz w:val="20"/>
          <w:szCs w:val="20"/>
        </w:rPr>
        <w:br/>
        <w:t>Small Finance Banks, Local Area Banks and</w:t>
      </w:r>
      <w:r>
        <w:rPr>
          <w:rFonts w:ascii="Arial" w:hAnsi="Arial" w:cs="Arial"/>
          <w:color w:val="000000"/>
          <w:sz w:val="20"/>
          <w:szCs w:val="20"/>
        </w:rPr>
        <w:br/>
        <w:t>Primary (Urban) Co-operative Banks other than Salary Earners’ Banks]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Madam/ Dear Sir,</w:t>
      </w:r>
    </w:p>
    <w:p w:rsidR="00CD5169" w:rsidRDefault="00CD5169" w:rsidP="00CD5169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Priority Sector Lending – Amendments to the Master Directions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refer to 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Directions (MD) on Priority Sector Lending (PSL) dated September 04, 2020</w:t>
        </w:r>
      </w:hyperlink>
      <w:r>
        <w:rPr>
          <w:rFonts w:ascii="Arial" w:hAnsi="Arial" w:cs="Arial"/>
          <w:color w:val="000000"/>
          <w:sz w:val="20"/>
          <w:szCs w:val="20"/>
        </w:rPr>
        <w:t> as updated from time to time. The following paras of the Directions stand amended in view of factors detailed thereunder.</w:t>
      </w:r>
    </w:p>
    <w:p w:rsidR="00CD5169" w:rsidRDefault="00CD5169" w:rsidP="00CD5169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Para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Adjustments for weights in PSL Achievement: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MD specifies that the lists of districts with comparatively high and low PSL credit detailed in Annex IA and IB of the MD are valid until FY 2023-24 subject to review thereafter. Based on a review, the lists of districts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have been updated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These lists will remain valid until FY 2026-27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will be reviewed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thereafter.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Accordingly, from FY 2024-25 onwards, a higher weight (125%) would be assigned to the incremental priority sector credit in the identified districts where the credit flow is comparatively lower (per capita PSL less than ₹9,000), and a lower weight (90%) would be assigned for incremental priority sector credit in the identified districts where the credit flow is comparatively higher (per capita PSL greater than ₹42,000).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Therefore, </w:t>
      </w:r>
      <w:hyperlink r:id="rId5" w:anchor="Adjustments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para </w:t>
        </w:r>
        <w:proofErr w:type="gramStart"/>
        <w:r>
          <w:rPr>
            <w:rStyle w:val="Hyperlink"/>
            <w:rFonts w:ascii="Arial" w:hAnsi="Arial" w:cs="Arial"/>
            <w:sz w:val="20"/>
            <w:szCs w:val="20"/>
            <w:u w:val="none"/>
          </w:rPr>
          <w:t>7</w:t>
        </w:r>
        <w:proofErr w:type="gramEnd"/>
        <w:r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of the MD on PSL</w:t>
        </w:r>
      </w:hyperlink>
      <w:r>
        <w:rPr>
          <w:rFonts w:ascii="Arial" w:hAnsi="Arial" w:cs="Arial"/>
          <w:color w:val="000000"/>
          <w:sz w:val="20"/>
          <w:szCs w:val="20"/>
        </w:rPr>
        <w:t> has been updated as mentioned above.</w:t>
      </w:r>
    </w:p>
    <w:p w:rsidR="00CD5169" w:rsidRDefault="00CD5169" w:rsidP="00CD5169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Para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Micro, Small &amp; Medium Enterprises: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definition of MSMEs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has been referenced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the 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Direction - Lending to Micro, Small &amp; Medium Enterprises (MSME) Sector</w:t>
        </w:r>
      </w:hyperlink>
      <w:r>
        <w:rPr>
          <w:rFonts w:ascii="Arial" w:hAnsi="Arial" w:cs="Arial"/>
          <w:color w:val="000000"/>
          <w:sz w:val="20"/>
          <w:szCs w:val="20"/>
        </w:rPr>
        <w:t>, for clarity.</w:t>
      </w:r>
    </w:p>
    <w:p w:rsidR="00CD5169" w:rsidRDefault="00CD5169" w:rsidP="00CD5169">
      <w:pPr>
        <w:pStyle w:val="head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Para 27 - Monitoring of Priority Sector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Lending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targets: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MD specifies that UCBs shall furnish data on priority sector advances in the reporting formats ‘Statement I’ and ‘Statement II (Part A to D)’ at quarterly and annual intervals, to the Regional Offices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RBI. This provision has been repealed in terms of </w:t>
      </w: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Direction - Reserve Bank of India (Filing of Supervisory Returns) Directions – 2024 (MD on FSR) dated February 27, 2024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The applicable return for reporting PSL data by UCBs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has been prescribed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Sl. No. 61 of Annex III of the MD on FSR. Accordingly, para 27 of MD as applicable to UCBs has been updated.</w:t>
      </w:r>
    </w:p>
    <w:p w:rsidR="00CD5169" w:rsidRDefault="00CD5169" w:rsidP="00CD5169">
      <w:pPr>
        <w:pStyle w:val="NoSpacing"/>
      </w:pPr>
      <w:r>
        <w:t xml:space="preserve">5. The relevant amendments made in the MD on PSL </w:t>
      </w:r>
      <w:proofErr w:type="gramStart"/>
      <w:r>
        <w:t>are detailed</w:t>
      </w:r>
      <w:proofErr w:type="gramEnd"/>
      <w:r>
        <w:t xml:space="preserve"> in the </w:t>
      </w:r>
      <w:hyperlink r:id="rId8" w:anchor="ANN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Annex</w:t>
        </w:r>
      </w:hyperlink>
      <w:r>
        <w:t>.</w:t>
      </w:r>
    </w:p>
    <w:p w:rsidR="00CD5169" w:rsidRDefault="00CD5169" w:rsidP="00CD5169">
      <w:pPr>
        <w:pStyle w:val="NoSpacing"/>
      </w:pPr>
      <w:r>
        <w:t>6. The </w:t>
      </w: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Master Directions</w:t>
        </w:r>
      </w:hyperlink>
      <w:r>
        <w:t> and </w:t>
      </w: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FAQs</w:t>
        </w:r>
      </w:hyperlink>
      <w:r>
        <w:t xml:space="preserve"> on Priority Sector Lending on the Bank’s website </w:t>
      </w:r>
      <w:proofErr w:type="gramStart"/>
      <w:r>
        <w:t>have been updated</w:t>
      </w:r>
      <w:proofErr w:type="gramEnd"/>
      <w:r>
        <w:t xml:space="preserve"> accordingly.</w:t>
      </w:r>
    </w:p>
    <w:p w:rsidR="00CD5169" w:rsidRDefault="00CD5169" w:rsidP="00CD516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:rsidR="00CD5169" w:rsidRDefault="00CD5169" w:rsidP="00CD5169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Nisha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Nambiar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Chief General Manager-in-Charge</w:t>
      </w:r>
    </w:p>
    <w:p w:rsidR="00CD5169" w:rsidRPr="00CD5169" w:rsidRDefault="00CD5169" w:rsidP="00D41A49">
      <w:pPr>
        <w:pStyle w:val="NormalWeb"/>
      </w:pPr>
      <w:r w:rsidRPr="00CD5169">
        <w:rPr>
          <w:rFonts w:ascii="Arial" w:hAnsi="Arial" w:cs="Arial"/>
          <w:color w:val="000000"/>
          <w:sz w:val="20"/>
          <w:szCs w:val="20"/>
        </w:rPr>
        <w:t xml:space="preserve">For more details, kindly </w:t>
      </w:r>
      <w:proofErr w:type="gramStart"/>
      <w:r w:rsidRPr="00CD5169">
        <w:rPr>
          <w:rFonts w:ascii="Arial" w:hAnsi="Arial" w:cs="Arial"/>
          <w:color w:val="000000"/>
          <w:sz w:val="20"/>
          <w:szCs w:val="20"/>
        </w:rPr>
        <w:t>refer: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11" w:history="1">
        <w:r w:rsidRPr="008D5961">
          <w:rPr>
            <w:rStyle w:val="Hyperlink"/>
            <w:rFonts w:ascii="Arial" w:hAnsi="Arial" w:cs="Arial"/>
            <w:sz w:val="20"/>
            <w:szCs w:val="20"/>
          </w:rPr>
          <w:t>https://www.rbi.org.in/Scripts/NotificationUser.aspx?Id=12694&amp;Mode=0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CD5169" w:rsidRPr="00CD5169" w:rsidSect="00CD51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3"/>
    <w:rsid w:val="00442AD3"/>
    <w:rsid w:val="008176BF"/>
    <w:rsid w:val="00825000"/>
    <w:rsid w:val="00CD5169"/>
    <w:rsid w:val="00D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1CF5"/>
  <w15:chartTrackingRefBased/>
  <w15:docId w15:val="{64BF1A83-7E62-4AAD-93C2-75FEB3D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5169"/>
    <w:rPr>
      <w:b/>
      <w:bCs/>
    </w:rPr>
  </w:style>
  <w:style w:type="paragraph" w:styleId="NormalWeb">
    <w:name w:val="Normal (Web)"/>
    <w:basedOn w:val="Normal"/>
    <w:uiPriority w:val="99"/>
    <w:unhideWhenUsed/>
    <w:rsid w:val="00CD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head">
    <w:name w:val="head"/>
    <w:basedOn w:val="Normal"/>
    <w:rsid w:val="00CD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CD5169"/>
    <w:rPr>
      <w:color w:val="0000FF"/>
      <w:u w:val="single"/>
    </w:rPr>
  </w:style>
  <w:style w:type="paragraph" w:styleId="NoSpacing">
    <w:name w:val="No Spacing"/>
    <w:uiPriority w:val="1"/>
    <w:qFormat/>
    <w:rsid w:val="00CD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NotificationUser.aspx?Id=12694&amp;Mode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bi.org.in/Scripts/BS_ViewMasDirections.aspx?id=126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bi.org.in/Scripts/BS_ViewMasDirections.aspx?id=11060" TargetMode="External"/><Relationship Id="rId11" Type="http://schemas.openxmlformats.org/officeDocument/2006/relationships/hyperlink" Target="https://www.rbi.org.in/Scripts/NotificationUser.aspx?Id=12694&amp;Mode=0" TargetMode="External"/><Relationship Id="rId5" Type="http://schemas.openxmlformats.org/officeDocument/2006/relationships/hyperlink" Target="https://www.rbi.org.in/Scripts/BS_ViewMasDirections.aspx?id=11959" TargetMode="External"/><Relationship Id="rId10" Type="http://schemas.openxmlformats.org/officeDocument/2006/relationships/hyperlink" Target="https://www.rbi.org.in/Scripts/FAQDisplay.aspx?Id=87" TargetMode="External"/><Relationship Id="rId4" Type="http://schemas.openxmlformats.org/officeDocument/2006/relationships/hyperlink" Target="https://www.rbi.org.in/Scripts/BS_ViewMasDirections.aspx?id=11959" TargetMode="External"/><Relationship Id="rId9" Type="http://schemas.openxmlformats.org/officeDocument/2006/relationships/hyperlink" Target="https://www.rbi.org.in/Scripts/BS_ViewMasDirections.aspx?id=11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Yuvanedhi Kumarasamy</dc:creator>
  <cp:keywords/>
  <dc:description/>
  <cp:lastModifiedBy>Yuvanedhi Kumarasamy</cp:lastModifiedBy>
  <cp:revision>3</cp:revision>
  <dcterms:created xsi:type="dcterms:W3CDTF">2024-08-23T06:49:00Z</dcterms:created>
  <dcterms:modified xsi:type="dcterms:W3CDTF">2024-08-23T06:53:00Z</dcterms:modified>
</cp:coreProperties>
</file>